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A44DD" w14:textId="77777777" w:rsidR="00680EB5" w:rsidRDefault="00680EB5" w:rsidP="00680EB5">
      <w:pPr>
        <w:rPr>
          <w:b/>
          <w:bCs/>
          <w:color w:val="215E99" w:themeColor="text2" w:themeTint="BF"/>
          <w:sz w:val="32"/>
          <w:szCs w:val="32"/>
        </w:rPr>
      </w:pPr>
      <w:r w:rsidRPr="00680EB5">
        <w:rPr>
          <w:b/>
          <w:bCs/>
          <w:color w:val="215E99" w:themeColor="text2" w:themeTint="BF"/>
          <w:sz w:val="32"/>
          <w:szCs w:val="32"/>
        </w:rPr>
        <w:t xml:space="preserve">Das </w:t>
      </w:r>
      <w:proofErr w:type="spellStart"/>
      <w:r w:rsidRPr="00680EB5">
        <w:rPr>
          <w:b/>
          <w:bCs/>
          <w:color w:val="215E99" w:themeColor="text2" w:themeTint="BF"/>
          <w:sz w:val="32"/>
          <w:szCs w:val="32"/>
        </w:rPr>
        <w:t>d’Hondtsches</w:t>
      </w:r>
      <w:proofErr w:type="spellEnd"/>
      <w:r w:rsidRPr="00680EB5">
        <w:rPr>
          <w:b/>
          <w:bCs/>
          <w:color w:val="215E99" w:themeColor="text2" w:themeTint="BF"/>
          <w:sz w:val="32"/>
          <w:szCs w:val="32"/>
        </w:rPr>
        <w:t xml:space="preserve"> Höchstzahlensystem</w:t>
      </w:r>
    </w:p>
    <w:p w14:paraId="601FCE3F" w14:textId="77777777" w:rsidR="00680EB5" w:rsidRPr="00680EB5" w:rsidRDefault="00680EB5" w:rsidP="00680EB5">
      <w:pPr>
        <w:rPr>
          <w:b/>
          <w:bCs/>
          <w:color w:val="215E99" w:themeColor="text2" w:themeTint="BF"/>
          <w:sz w:val="32"/>
          <w:szCs w:val="32"/>
        </w:rPr>
      </w:pPr>
    </w:p>
    <w:p w14:paraId="52B08F93" w14:textId="77777777" w:rsidR="00680EB5" w:rsidRPr="00680EB5" w:rsidRDefault="00680EB5" w:rsidP="00680EB5">
      <w:r w:rsidRPr="00680EB5">
        <w:t xml:space="preserve">Das </w:t>
      </w:r>
      <w:proofErr w:type="spellStart"/>
      <w:r w:rsidRPr="00680EB5">
        <w:t>d'Hondtsche</w:t>
      </w:r>
      <w:proofErr w:type="spellEnd"/>
      <w:r w:rsidRPr="00680EB5">
        <w:t xml:space="preserve"> Höchstzahlenverfahren ist benannt nach </w:t>
      </w:r>
      <w:r w:rsidRPr="00680EB5">
        <w:rPr>
          <w:b/>
          <w:bCs/>
        </w:rPr>
        <w:t xml:space="preserve">Victor </w:t>
      </w:r>
      <w:proofErr w:type="spellStart"/>
      <w:r w:rsidRPr="00680EB5">
        <w:rPr>
          <w:b/>
          <w:bCs/>
        </w:rPr>
        <w:t>d’Hondt</w:t>
      </w:r>
      <w:proofErr w:type="spellEnd"/>
      <w:r w:rsidRPr="00680EB5">
        <w:t xml:space="preserve"> (1841–1901), einem belgischen Professor für Zivil- und Steuerrecht. Er setzte sich stark für Verhältniswahlsysteme ein, um damit auch Minderheiten die Möglichkeit zu geben, in gewählten Gremien vertreten zu sein. Und genau das soll auch bei der Betriebsratswahl sichergestellt werden. Wie viele Betriebsratssitze einer Kandidatenliste im Verhältnis zur Gesamtzahl der abgegebenen Stimmen zustehen, wird deshalb mit dem </w:t>
      </w:r>
      <w:proofErr w:type="spellStart"/>
      <w:r w:rsidRPr="00680EB5">
        <w:t>d'Hondtschen</w:t>
      </w:r>
      <w:proofErr w:type="spellEnd"/>
      <w:r w:rsidRPr="00680EB5">
        <w:t xml:space="preserve"> Höchstzahlensystem errechnet:</w:t>
      </w:r>
    </w:p>
    <w:p w14:paraId="5A80EA92" w14:textId="77777777" w:rsidR="00680EB5" w:rsidRPr="00680EB5" w:rsidRDefault="00680EB5" w:rsidP="00680EB5">
      <w:r w:rsidRPr="00680EB5">
        <w:t>Dafür ist eine Tabelle zu erstellen, in deren Kopf jeweils die Stimmenzahl eingetragen wird, die die einzelnen Listen bekommen haben; danach werden diese Zahlen dann nacheinander durch 1, 2 usw. geteilt...</w:t>
      </w:r>
    </w:p>
    <w:p w14:paraId="1EB3B9A9" w14:textId="77777777" w:rsidR="00680EB5" w:rsidRPr="00680EB5" w:rsidRDefault="00680EB5" w:rsidP="00680EB5">
      <w:r w:rsidRPr="00680EB5">
        <w:rPr>
          <w:b/>
          <w:bCs/>
        </w:rPr>
        <w:t>Beispiel:  </w:t>
      </w:r>
      <w:r w:rsidRPr="00680EB5">
        <w:rPr>
          <w:b/>
          <w:bCs/>
        </w:rPr>
        <w:br/>
        <w:t>(</w:t>
      </w:r>
      <w:r w:rsidRPr="00680EB5">
        <w:t xml:space="preserve">Zu wählen sind in unserem Beispiel </w:t>
      </w:r>
      <w:r w:rsidRPr="00680EB5">
        <w:rPr>
          <w:b/>
          <w:bCs/>
        </w:rPr>
        <w:t>9 Betriebsratsmitglieder</w:t>
      </w:r>
      <w:r w:rsidRPr="00680EB5">
        <w:t xml:space="preserve"> (siehe </w:t>
      </w:r>
      <w:hyperlink r:id="rId4" w:tgtFrame="_self" w:history="1">
        <w:r w:rsidRPr="00680EB5">
          <w:rPr>
            <w:rStyle w:val="Hyperlink"/>
            <w:b/>
            <w:bCs/>
          </w:rPr>
          <w:t>§ 9 BetrVG</w:t>
        </w:r>
      </w:hyperlink>
      <w:r w:rsidRPr="00680EB5">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5"/>
        <w:gridCol w:w="2757"/>
        <w:gridCol w:w="2919"/>
        <w:gridCol w:w="2671"/>
      </w:tblGrid>
      <w:tr w:rsidR="00680EB5" w:rsidRPr="00680EB5" w14:paraId="7DC783FA" w14:textId="77777777" w:rsidTr="00680EB5">
        <w:trPr>
          <w:tblCellSpacing w:w="15" w:type="dxa"/>
        </w:trPr>
        <w:tc>
          <w:tcPr>
            <w:tcW w:w="0" w:type="auto"/>
            <w:vAlign w:val="center"/>
            <w:hideMark/>
          </w:tcPr>
          <w:p w14:paraId="6FE63AF8" w14:textId="77777777" w:rsidR="00680EB5" w:rsidRPr="00680EB5" w:rsidRDefault="00680EB5" w:rsidP="00680EB5">
            <w:r w:rsidRPr="00680EB5">
              <w:t> </w:t>
            </w:r>
          </w:p>
        </w:tc>
        <w:tc>
          <w:tcPr>
            <w:tcW w:w="0" w:type="auto"/>
            <w:vAlign w:val="center"/>
            <w:hideMark/>
          </w:tcPr>
          <w:p w14:paraId="6E712D3C" w14:textId="77777777" w:rsidR="00680EB5" w:rsidRPr="00680EB5" w:rsidRDefault="00680EB5" w:rsidP="00680EB5">
            <w:r w:rsidRPr="00680EB5">
              <w:rPr>
                <w:b/>
                <w:bCs/>
              </w:rPr>
              <w:t> Liste A</w:t>
            </w:r>
          </w:p>
        </w:tc>
        <w:tc>
          <w:tcPr>
            <w:tcW w:w="0" w:type="auto"/>
            <w:vAlign w:val="center"/>
            <w:hideMark/>
          </w:tcPr>
          <w:p w14:paraId="06E13B6E" w14:textId="77777777" w:rsidR="00680EB5" w:rsidRPr="00680EB5" w:rsidRDefault="00680EB5" w:rsidP="00680EB5">
            <w:r w:rsidRPr="00680EB5">
              <w:rPr>
                <w:b/>
                <w:bCs/>
              </w:rPr>
              <w:t> Liste B</w:t>
            </w:r>
          </w:p>
        </w:tc>
        <w:tc>
          <w:tcPr>
            <w:tcW w:w="0" w:type="auto"/>
            <w:vAlign w:val="center"/>
            <w:hideMark/>
          </w:tcPr>
          <w:p w14:paraId="09B19C58" w14:textId="77777777" w:rsidR="00680EB5" w:rsidRPr="00680EB5" w:rsidRDefault="00680EB5" w:rsidP="00680EB5">
            <w:r w:rsidRPr="00680EB5">
              <w:rPr>
                <w:b/>
                <w:bCs/>
              </w:rPr>
              <w:t> Liste C</w:t>
            </w:r>
          </w:p>
        </w:tc>
      </w:tr>
      <w:tr w:rsidR="00680EB5" w:rsidRPr="00680EB5" w14:paraId="0C1DCD11" w14:textId="77777777" w:rsidTr="00680EB5">
        <w:trPr>
          <w:tblCellSpacing w:w="15" w:type="dxa"/>
        </w:trPr>
        <w:tc>
          <w:tcPr>
            <w:tcW w:w="0" w:type="auto"/>
            <w:vAlign w:val="center"/>
            <w:hideMark/>
          </w:tcPr>
          <w:p w14:paraId="6A1F0DDF" w14:textId="77777777" w:rsidR="00680EB5" w:rsidRPr="00680EB5" w:rsidRDefault="00680EB5" w:rsidP="00680EB5">
            <w:r w:rsidRPr="00680EB5">
              <w:t> </w:t>
            </w:r>
          </w:p>
        </w:tc>
        <w:tc>
          <w:tcPr>
            <w:tcW w:w="0" w:type="auto"/>
            <w:vAlign w:val="center"/>
            <w:hideMark/>
          </w:tcPr>
          <w:p w14:paraId="44640E2F" w14:textId="77777777" w:rsidR="00680EB5" w:rsidRPr="00680EB5" w:rsidRDefault="00680EB5" w:rsidP="00680EB5">
            <w:r w:rsidRPr="00680EB5">
              <w:t> 55 Stimmen</w:t>
            </w:r>
          </w:p>
        </w:tc>
        <w:tc>
          <w:tcPr>
            <w:tcW w:w="0" w:type="auto"/>
            <w:vAlign w:val="center"/>
            <w:hideMark/>
          </w:tcPr>
          <w:p w14:paraId="4D8109AC" w14:textId="77777777" w:rsidR="00680EB5" w:rsidRPr="00680EB5" w:rsidRDefault="00680EB5" w:rsidP="00680EB5">
            <w:r w:rsidRPr="00680EB5">
              <w:t>120 Stimmen</w:t>
            </w:r>
          </w:p>
        </w:tc>
        <w:tc>
          <w:tcPr>
            <w:tcW w:w="0" w:type="auto"/>
            <w:vAlign w:val="center"/>
            <w:hideMark/>
          </w:tcPr>
          <w:p w14:paraId="6A5CFB33" w14:textId="77777777" w:rsidR="00680EB5" w:rsidRPr="00680EB5" w:rsidRDefault="00680EB5" w:rsidP="00680EB5">
            <w:r w:rsidRPr="00680EB5">
              <w:t>45 Stimmen</w:t>
            </w:r>
          </w:p>
        </w:tc>
      </w:tr>
      <w:tr w:rsidR="00680EB5" w:rsidRPr="00680EB5" w14:paraId="35030A75" w14:textId="77777777" w:rsidTr="00680EB5">
        <w:trPr>
          <w:tblCellSpacing w:w="15" w:type="dxa"/>
        </w:trPr>
        <w:tc>
          <w:tcPr>
            <w:tcW w:w="0" w:type="auto"/>
            <w:vAlign w:val="center"/>
            <w:hideMark/>
          </w:tcPr>
          <w:p w14:paraId="6E50AA1D" w14:textId="77777777" w:rsidR="00680EB5" w:rsidRPr="00680EB5" w:rsidRDefault="00680EB5" w:rsidP="00680EB5">
            <w:r w:rsidRPr="00680EB5">
              <w:rPr>
                <w:b/>
                <w:bCs/>
              </w:rPr>
              <w:t xml:space="preserve">: 1 </w:t>
            </w:r>
          </w:p>
        </w:tc>
        <w:tc>
          <w:tcPr>
            <w:tcW w:w="0" w:type="auto"/>
            <w:vAlign w:val="center"/>
            <w:hideMark/>
          </w:tcPr>
          <w:p w14:paraId="279B096E" w14:textId="77777777" w:rsidR="00680EB5" w:rsidRPr="00680EB5" w:rsidRDefault="00680EB5" w:rsidP="00680EB5">
            <w:r w:rsidRPr="00680EB5">
              <w:rPr>
                <w:b/>
                <w:bCs/>
                <w:i/>
                <w:iCs/>
              </w:rPr>
              <w:t> 55,0</w:t>
            </w:r>
          </w:p>
        </w:tc>
        <w:tc>
          <w:tcPr>
            <w:tcW w:w="0" w:type="auto"/>
            <w:vAlign w:val="center"/>
            <w:hideMark/>
          </w:tcPr>
          <w:p w14:paraId="01C59436" w14:textId="77777777" w:rsidR="00680EB5" w:rsidRPr="00680EB5" w:rsidRDefault="00680EB5" w:rsidP="00680EB5">
            <w:r w:rsidRPr="00680EB5">
              <w:rPr>
                <w:b/>
                <w:bCs/>
                <w:i/>
                <w:iCs/>
              </w:rPr>
              <w:t>120,0</w:t>
            </w:r>
          </w:p>
        </w:tc>
        <w:tc>
          <w:tcPr>
            <w:tcW w:w="0" w:type="auto"/>
            <w:vAlign w:val="center"/>
            <w:hideMark/>
          </w:tcPr>
          <w:p w14:paraId="13D38787" w14:textId="77777777" w:rsidR="00680EB5" w:rsidRPr="00680EB5" w:rsidRDefault="00680EB5" w:rsidP="00680EB5">
            <w:r w:rsidRPr="00680EB5">
              <w:rPr>
                <w:b/>
                <w:bCs/>
                <w:i/>
                <w:iCs/>
              </w:rPr>
              <w:t> 45,0</w:t>
            </w:r>
          </w:p>
        </w:tc>
      </w:tr>
      <w:tr w:rsidR="00680EB5" w:rsidRPr="00680EB5" w14:paraId="5AE9F845" w14:textId="77777777" w:rsidTr="00680EB5">
        <w:trPr>
          <w:tblCellSpacing w:w="15" w:type="dxa"/>
        </w:trPr>
        <w:tc>
          <w:tcPr>
            <w:tcW w:w="0" w:type="auto"/>
            <w:vAlign w:val="center"/>
            <w:hideMark/>
          </w:tcPr>
          <w:p w14:paraId="50B4EEC3" w14:textId="77777777" w:rsidR="00680EB5" w:rsidRPr="00680EB5" w:rsidRDefault="00680EB5" w:rsidP="00680EB5">
            <w:r w:rsidRPr="00680EB5">
              <w:rPr>
                <w:b/>
                <w:bCs/>
              </w:rPr>
              <w:t xml:space="preserve"> : 2 </w:t>
            </w:r>
          </w:p>
        </w:tc>
        <w:tc>
          <w:tcPr>
            <w:tcW w:w="0" w:type="auto"/>
            <w:vAlign w:val="center"/>
            <w:hideMark/>
          </w:tcPr>
          <w:p w14:paraId="48389AE3" w14:textId="77777777" w:rsidR="00680EB5" w:rsidRPr="00680EB5" w:rsidRDefault="00680EB5" w:rsidP="00680EB5">
            <w:r w:rsidRPr="00680EB5">
              <w:rPr>
                <w:b/>
                <w:bCs/>
                <w:i/>
                <w:iCs/>
              </w:rPr>
              <w:t> 27,5</w:t>
            </w:r>
          </w:p>
        </w:tc>
        <w:tc>
          <w:tcPr>
            <w:tcW w:w="0" w:type="auto"/>
            <w:vAlign w:val="center"/>
            <w:hideMark/>
          </w:tcPr>
          <w:p w14:paraId="3E9ACD75" w14:textId="77777777" w:rsidR="00680EB5" w:rsidRPr="00680EB5" w:rsidRDefault="00680EB5" w:rsidP="00680EB5">
            <w:r w:rsidRPr="00680EB5">
              <w:rPr>
                <w:b/>
                <w:bCs/>
                <w:i/>
                <w:iCs/>
              </w:rPr>
              <w:t> 60,0</w:t>
            </w:r>
          </w:p>
        </w:tc>
        <w:tc>
          <w:tcPr>
            <w:tcW w:w="0" w:type="auto"/>
            <w:vAlign w:val="center"/>
            <w:hideMark/>
          </w:tcPr>
          <w:p w14:paraId="53C8D6EC" w14:textId="77777777" w:rsidR="00680EB5" w:rsidRPr="00680EB5" w:rsidRDefault="00680EB5" w:rsidP="00680EB5">
            <w:r w:rsidRPr="00680EB5">
              <w:rPr>
                <w:b/>
                <w:bCs/>
                <w:i/>
                <w:iCs/>
              </w:rPr>
              <w:t> 22,5</w:t>
            </w:r>
          </w:p>
        </w:tc>
      </w:tr>
      <w:tr w:rsidR="00680EB5" w:rsidRPr="00680EB5" w14:paraId="4397AABA" w14:textId="77777777" w:rsidTr="00680EB5">
        <w:trPr>
          <w:tblCellSpacing w:w="15" w:type="dxa"/>
        </w:trPr>
        <w:tc>
          <w:tcPr>
            <w:tcW w:w="0" w:type="auto"/>
            <w:vAlign w:val="center"/>
            <w:hideMark/>
          </w:tcPr>
          <w:p w14:paraId="5CE6556B" w14:textId="77777777" w:rsidR="00680EB5" w:rsidRPr="00680EB5" w:rsidRDefault="00680EB5" w:rsidP="00680EB5">
            <w:r w:rsidRPr="00680EB5">
              <w:rPr>
                <w:b/>
                <w:bCs/>
              </w:rPr>
              <w:t> : 3</w:t>
            </w:r>
          </w:p>
        </w:tc>
        <w:tc>
          <w:tcPr>
            <w:tcW w:w="0" w:type="auto"/>
            <w:vAlign w:val="center"/>
            <w:hideMark/>
          </w:tcPr>
          <w:p w14:paraId="0B67C85C" w14:textId="77777777" w:rsidR="00680EB5" w:rsidRPr="00680EB5" w:rsidRDefault="00680EB5" w:rsidP="00680EB5">
            <w:r w:rsidRPr="00680EB5">
              <w:t> 18,3</w:t>
            </w:r>
          </w:p>
        </w:tc>
        <w:tc>
          <w:tcPr>
            <w:tcW w:w="0" w:type="auto"/>
            <w:vAlign w:val="center"/>
            <w:hideMark/>
          </w:tcPr>
          <w:p w14:paraId="277E26C6" w14:textId="77777777" w:rsidR="00680EB5" w:rsidRPr="00680EB5" w:rsidRDefault="00680EB5" w:rsidP="00680EB5">
            <w:r w:rsidRPr="00680EB5">
              <w:rPr>
                <w:b/>
                <w:bCs/>
                <w:i/>
                <w:iCs/>
              </w:rPr>
              <w:t> 40,0</w:t>
            </w:r>
          </w:p>
        </w:tc>
        <w:tc>
          <w:tcPr>
            <w:tcW w:w="0" w:type="auto"/>
            <w:vAlign w:val="center"/>
            <w:hideMark/>
          </w:tcPr>
          <w:p w14:paraId="2DA239FF" w14:textId="77777777" w:rsidR="00680EB5" w:rsidRPr="00680EB5" w:rsidRDefault="00680EB5" w:rsidP="00680EB5">
            <w:r w:rsidRPr="00680EB5">
              <w:t> 15,0</w:t>
            </w:r>
          </w:p>
        </w:tc>
      </w:tr>
      <w:tr w:rsidR="00680EB5" w:rsidRPr="00680EB5" w14:paraId="2234115A" w14:textId="77777777" w:rsidTr="00680EB5">
        <w:trPr>
          <w:tblCellSpacing w:w="15" w:type="dxa"/>
        </w:trPr>
        <w:tc>
          <w:tcPr>
            <w:tcW w:w="0" w:type="auto"/>
            <w:vAlign w:val="center"/>
            <w:hideMark/>
          </w:tcPr>
          <w:p w14:paraId="2C7D792A" w14:textId="77777777" w:rsidR="00680EB5" w:rsidRPr="00680EB5" w:rsidRDefault="00680EB5" w:rsidP="00680EB5">
            <w:r w:rsidRPr="00680EB5">
              <w:rPr>
                <w:b/>
                <w:bCs/>
              </w:rPr>
              <w:t> : 4</w:t>
            </w:r>
          </w:p>
        </w:tc>
        <w:tc>
          <w:tcPr>
            <w:tcW w:w="0" w:type="auto"/>
            <w:vAlign w:val="center"/>
            <w:hideMark/>
          </w:tcPr>
          <w:p w14:paraId="649E00B2" w14:textId="77777777" w:rsidR="00680EB5" w:rsidRPr="00680EB5" w:rsidRDefault="00680EB5" w:rsidP="00680EB5">
            <w:r w:rsidRPr="00680EB5">
              <w:t> 13,8</w:t>
            </w:r>
          </w:p>
        </w:tc>
        <w:tc>
          <w:tcPr>
            <w:tcW w:w="0" w:type="auto"/>
            <w:vAlign w:val="center"/>
            <w:hideMark/>
          </w:tcPr>
          <w:p w14:paraId="1C8D8E99" w14:textId="77777777" w:rsidR="00680EB5" w:rsidRPr="00680EB5" w:rsidRDefault="00680EB5" w:rsidP="00680EB5">
            <w:r w:rsidRPr="00680EB5">
              <w:rPr>
                <w:b/>
                <w:bCs/>
                <w:i/>
                <w:iCs/>
              </w:rPr>
              <w:t> 30,0</w:t>
            </w:r>
          </w:p>
        </w:tc>
        <w:tc>
          <w:tcPr>
            <w:tcW w:w="0" w:type="auto"/>
            <w:vAlign w:val="center"/>
            <w:hideMark/>
          </w:tcPr>
          <w:p w14:paraId="7DA44691" w14:textId="77777777" w:rsidR="00680EB5" w:rsidRPr="00680EB5" w:rsidRDefault="00680EB5" w:rsidP="00680EB5">
            <w:r w:rsidRPr="00680EB5">
              <w:t> 11,3</w:t>
            </w:r>
          </w:p>
        </w:tc>
      </w:tr>
      <w:tr w:rsidR="00680EB5" w:rsidRPr="00680EB5" w14:paraId="78CBD00D" w14:textId="77777777" w:rsidTr="00680EB5">
        <w:trPr>
          <w:tblCellSpacing w:w="15" w:type="dxa"/>
        </w:trPr>
        <w:tc>
          <w:tcPr>
            <w:tcW w:w="0" w:type="auto"/>
            <w:vAlign w:val="center"/>
            <w:hideMark/>
          </w:tcPr>
          <w:p w14:paraId="428A7A18" w14:textId="77777777" w:rsidR="00680EB5" w:rsidRPr="00680EB5" w:rsidRDefault="00680EB5" w:rsidP="00680EB5">
            <w:r w:rsidRPr="00680EB5">
              <w:rPr>
                <w:b/>
                <w:bCs/>
              </w:rPr>
              <w:t> : 5</w:t>
            </w:r>
          </w:p>
        </w:tc>
        <w:tc>
          <w:tcPr>
            <w:tcW w:w="0" w:type="auto"/>
            <w:vAlign w:val="center"/>
            <w:hideMark/>
          </w:tcPr>
          <w:p w14:paraId="557AC0BC" w14:textId="77777777" w:rsidR="00680EB5" w:rsidRPr="00680EB5" w:rsidRDefault="00680EB5" w:rsidP="00680EB5">
            <w:r w:rsidRPr="00680EB5">
              <w:t> 11,0</w:t>
            </w:r>
          </w:p>
        </w:tc>
        <w:tc>
          <w:tcPr>
            <w:tcW w:w="0" w:type="auto"/>
            <w:vAlign w:val="center"/>
            <w:hideMark/>
          </w:tcPr>
          <w:p w14:paraId="6140DA37" w14:textId="77777777" w:rsidR="00680EB5" w:rsidRPr="00680EB5" w:rsidRDefault="00680EB5" w:rsidP="00680EB5">
            <w:r w:rsidRPr="00680EB5">
              <w:rPr>
                <w:b/>
                <w:bCs/>
                <w:i/>
                <w:iCs/>
              </w:rPr>
              <w:t> 24,0</w:t>
            </w:r>
          </w:p>
        </w:tc>
        <w:tc>
          <w:tcPr>
            <w:tcW w:w="0" w:type="auto"/>
            <w:vAlign w:val="center"/>
            <w:hideMark/>
          </w:tcPr>
          <w:p w14:paraId="10005BBB" w14:textId="77777777" w:rsidR="00680EB5" w:rsidRPr="00680EB5" w:rsidRDefault="00680EB5" w:rsidP="00680EB5">
            <w:r w:rsidRPr="00680EB5">
              <w:t> 9,0</w:t>
            </w:r>
          </w:p>
        </w:tc>
      </w:tr>
    </w:tbl>
    <w:p w14:paraId="3DF968A0" w14:textId="77777777" w:rsidR="00680EB5" w:rsidRPr="00680EB5" w:rsidRDefault="00680EB5" w:rsidP="00680EB5">
      <w:r w:rsidRPr="00680EB5">
        <w:br/>
        <w:t>Herauszusuchen sind deshalb die</w:t>
      </w:r>
      <w:r w:rsidRPr="00680EB5">
        <w:rPr>
          <w:b/>
          <w:bCs/>
        </w:rPr>
        <w:t xml:space="preserve"> 9 höchsten Zahlen</w:t>
      </w:r>
      <w:r w:rsidRPr="00680EB5">
        <w:t xml:space="preserve"> in der Tabelle. Somit ist klar, dass </w:t>
      </w:r>
      <w:r w:rsidRPr="00680EB5">
        <w:rPr>
          <w:b/>
          <w:bCs/>
        </w:rPr>
        <w:t>Liste B</w:t>
      </w:r>
      <w:r w:rsidRPr="00680EB5">
        <w:t xml:space="preserve"> mit </w:t>
      </w:r>
      <w:r w:rsidRPr="00680EB5">
        <w:rPr>
          <w:b/>
          <w:bCs/>
        </w:rPr>
        <w:t>5 Mitgliedern</w:t>
      </w:r>
      <w:r w:rsidRPr="00680EB5">
        <w:t xml:space="preserve"> und die </w:t>
      </w:r>
      <w:r w:rsidRPr="00680EB5">
        <w:rPr>
          <w:b/>
          <w:bCs/>
        </w:rPr>
        <w:t>Listen A und C</w:t>
      </w:r>
      <w:r w:rsidRPr="00680EB5">
        <w:t xml:space="preserve"> mit jeweils </w:t>
      </w:r>
      <w:r w:rsidRPr="00680EB5">
        <w:rPr>
          <w:b/>
          <w:bCs/>
        </w:rPr>
        <w:t>2 Mitgliedern</w:t>
      </w:r>
      <w:r w:rsidRPr="00680EB5">
        <w:t xml:space="preserve"> im </w:t>
      </w:r>
      <w:r w:rsidRPr="00680EB5">
        <w:rPr>
          <w:b/>
          <w:bCs/>
        </w:rPr>
        <w:t>Betriebsrat</w:t>
      </w:r>
      <w:r w:rsidRPr="00680EB5">
        <w:t xml:space="preserve"> vertreten sein werden. </w:t>
      </w:r>
    </w:p>
    <w:p w14:paraId="242F9D2A" w14:textId="77777777" w:rsidR="00680EB5" w:rsidRDefault="00680EB5" w:rsidP="00680EB5">
      <w:r w:rsidRPr="00680EB5">
        <w:t xml:space="preserve">Dieses Verfahren wird im Rahmen der Betriebsratswahl an mehreren Stellen angewendet. </w:t>
      </w:r>
    </w:p>
    <w:p w14:paraId="67DC0AC6" w14:textId="07CEAB36" w:rsidR="00680EB5" w:rsidRDefault="00680EB5" w:rsidP="00680EB5">
      <w:r>
        <w:t>----------------------</w:t>
      </w:r>
    </w:p>
    <w:p w14:paraId="420CD95F" w14:textId="45E77055" w:rsidR="00680EB5" w:rsidRDefault="00680EB5" w:rsidP="00680EB5">
      <w:r>
        <w:t>Zu beachten ist, dass bei der Berechnung unter Umständen auch die 2., 3. oder 4. Stelle hinter dem Komma eine Bedeutung haben können. Es macht eben einen Unterschied, ob man bei dem teilen aus eine</w:t>
      </w:r>
      <w:r w:rsidR="00DD5816">
        <w:t>r</w:t>
      </w:r>
      <w:r>
        <w:t xml:space="preserve"> x,462 die Zahl rundet auf x,46 und bei einem anderen Kandidaten aus einer x,458 ebenfalls eine x,46 macht. Auch ein kleiner Unterschied kann eine Entscheidung herbeiführen</w:t>
      </w:r>
      <w:r w:rsidR="00DD5816">
        <w:t>.</w:t>
      </w:r>
    </w:p>
    <w:p w14:paraId="103E7119" w14:textId="77777777" w:rsidR="00DD5816" w:rsidRDefault="00DD5816" w:rsidP="00680EB5"/>
    <w:p w14:paraId="095ECF6E" w14:textId="69E53F10" w:rsidR="00DD5816" w:rsidRPr="00680EB5" w:rsidRDefault="00DD5816" w:rsidP="00680EB5">
      <w:r>
        <w:t xml:space="preserve">Man sollte daher auch bei dem Einsatz einer </w:t>
      </w:r>
      <w:proofErr w:type="spellStart"/>
      <w:r>
        <w:t>d´Hondt-Berechnungs_App</w:t>
      </w:r>
      <w:proofErr w:type="spellEnd"/>
      <w:r>
        <w:t xml:space="preserve"> (von denen es immer mehr auf dem Markt gibt) darauf achten, ob die Software genügend Stellen nach dem Komma ausweist – also ausreichend präzise ist.</w:t>
      </w:r>
    </w:p>
    <w:p w14:paraId="3719B5B7" w14:textId="77777777" w:rsidR="000B3DE3" w:rsidRPr="00680EB5" w:rsidRDefault="000B3DE3"/>
    <w:sectPr w:rsidR="000B3DE3" w:rsidRPr="00680EB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B5"/>
    <w:rsid w:val="000B3DE3"/>
    <w:rsid w:val="00680EB5"/>
    <w:rsid w:val="00724146"/>
    <w:rsid w:val="00C316C2"/>
    <w:rsid w:val="00DD5816"/>
    <w:rsid w:val="00F705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68E64"/>
  <w15:chartTrackingRefBased/>
  <w15:docId w15:val="{57FCF198-1198-4F9E-904E-9F7CA6CC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80E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80E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80EB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80EB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80EB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80EB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80EB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80EB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80EB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80EB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80EB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80EB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80EB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80EB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80EB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80EB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80EB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80EB5"/>
    <w:rPr>
      <w:rFonts w:eastAsiaTheme="majorEastAsia" w:cstheme="majorBidi"/>
      <w:color w:val="272727" w:themeColor="text1" w:themeTint="D8"/>
    </w:rPr>
  </w:style>
  <w:style w:type="paragraph" w:styleId="Titel">
    <w:name w:val="Title"/>
    <w:basedOn w:val="Standard"/>
    <w:next w:val="Standard"/>
    <w:link w:val="TitelZchn"/>
    <w:uiPriority w:val="10"/>
    <w:qFormat/>
    <w:rsid w:val="00680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80EB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80EB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80EB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80EB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80EB5"/>
    <w:rPr>
      <w:i/>
      <w:iCs/>
      <w:color w:val="404040" w:themeColor="text1" w:themeTint="BF"/>
    </w:rPr>
  </w:style>
  <w:style w:type="paragraph" w:styleId="Listenabsatz">
    <w:name w:val="List Paragraph"/>
    <w:basedOn w:val="Standard"/>
    <w:uiPriority w:val="34"/>
    <w:qFormat/>
    <w:rsid w:val="00680EB5"/>
    <w:pPr>
      <w:ind w:left="720"/>
      <w:contextualSpacing/>
    </w:pPr>
  </w:style>
  <w:style w:type="character" w:styleId="IntensiveHervorhebung">
    <w:name w:val="Intense Emphasis"/>
    <w:basedOn w:val="Absatz-Standardschriftart"/>
    <w:uiPriority w:val="21"/>
    <w:qFormat/>
    <w:rsid w:val="00680EB5"/>
    <w:rPr>
      <w:i/>
      <w:iCs/>
      <w:color w:val="0F4761" w:themeColor="accent1" w:themeShade="BF"/>
    </w:rPr>
  </w:style>
  <w:style w:type="paragraph" w:styleId="IntensivesZitat">
    <w:name w:val="Intense Quote"/>
    <w:basedOn w:val="Standard"/>
    <w:next w:val="Standard"/>
    <w:link w:val="IntensivesZitatZchn"/>
    <w:uiPriority w:val="30"/>
    <w:qFormat/>
    <w:rsid w:val="00680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80EB5"/>
    <w:rPr>
      <w:i/>
      <w:iCs/>
      <w:color w:val="0F4761" w:themeColor="accent1" w:themeShade="BF"/>
    </w:rPr>
  </w:style>
  <w:style w:type="character" w:styleId="IntensiverVerweis">
    <w:name w:val="Intense Reference"/>
    <w:basedOn w:val="Absatz-Standardschriftart"/>
    <w:uiPriority w:val="32"/>
    <w:qFormat/>
    <w:rsid w:val="00680EB5"/>
    <w:rPr>
      <w:b/>
      <w:bCs/>
      <w:smallCaps/>
      <w:color w:val="0F4761" w:themeColor="accent1" w:themeShade="BF"/>
      <w:spacing w:val="5"/>
    </w:rPr>
  </w:style>
  <w:style w:type="character" w:styleId="Hyperlink">
    <w:name w:val="Hyperlink"/>
    <w:basedOn w:val="Absatz-Standardschriftart"/>
    <w:uiPriority w:val="99"/>
    <w:unhideWhenUsed/>
    <w:rsid w:val="00680EB5"/>
    <w:rPr>
      <w:color w:val="467886" w:themeColor="hyperlink"/>
      <w:u w:val="single"/>
    </w:rPr>
  </w:style>
  <w:style w:type="character" w:styleId="NichtaufgelsteErwhnung">
    <w:name w:val="Unresolved Mention"/>
    <w:basedOn w:val="Absatz-Standardschriftart"/>
    <w:uiPriority w:val="99"/>
    <w:semiHidden/>
    <w:unhideWhenUsed/>
    <w:rsid w:val="00680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400959">
      <w:bodyDiv w:val="1"/>
      <w:marLeft w:val="0"/>
      <w:marRight w:val="0"/>
      <w:marTop w:val="0"/>
      <w:marBottom w:val="0"/>
      <w:divBdr>
        <w:top w:val="none" w:sz="0" w:space="0" w:color="auto"/>
        <w:left w:val="none" w:sz="0" w:space="0" w:color="auto"/>
        <w:bottom w:val="none" w:sz="0" w:space="0" w:color="auto"/>
        <w:right w:val="none" w:sz="0" w:space="0" w:color="auto"/>
      </w:divBdr>
      <w:divsChild>
        <w:div w:id="300237356">
          <w:marLeft w:val="0"/>
          <w:marRight w:val="0"/>
          <w:marTop w:val="0"/>
          <w:marBottom w:val="0"/>
          <w:divBdr>
            <w:top w:val="none" w:sz="0" w:space="0" w:color="auto"/>
            <w:left w:val="none" w:sz="0" w:space="0" w:color="auto"/>
            <w:bottom w:val="none" w:sz="0" w:space="0" w:color="auto"/>
            <w:right w:val="none" w:sz="0" w:space="0" w:color="auto"/>
          </w:divBdr>
        </w:div>
        <w:div w:id="1068651206">
          <w:marLeft w:val="0"/>
          <w:marRight w:val="0"/>
          <w:marTop w:val="0"/>
          <w:marBottom w:val="0"/>
          <w:divBdr>
            <w:top w:val="none" w:sz="0" w:space="0" w:color="auto"/>
            <w:left w:val="none" w:sz="0" w:space="0" w:color="auto"/>
            <w:bottom w:val="none" w:sz="0" w:space="0" w:color="auto"/>
            <w:right w:val="none" w:sz="0" w:space="0" w:color="auto"/>
          </w:divBdr>
        </w:div>
        <w:div w:id="674840671">
          <w:marLeft w:val="0"/>
          <w:marRight w:val="0"/>
          <w:marTop w:val="0"/>
          <w:marBottom w:val="0"/>
          <w:divBdr>
            <w:top w:val="none" w:sz="0" w:space="0" w:color="auto"/>
            <w:left w:val="none" w:sz="0" w:space="0" w:color="auto"/>
            <w:bottom w:val="none" w:sz="0" w:space="0" w:color="auto"/>
            <w:right w:val="none" w:sz="0" w:space="0" w:color="auto"/>
          </w:divBdr>
        </w:div>
        <w:div w:id="1139036720">
          <w:marLeft w:val="0"/>
          <w:marRight w:val="0"/>
          <w:marTop w:val="0"/>
          <w:marBottom w:val="0"/>
          <w:divBdr>
            <w:top w:val="none" w:sz="0" w:space="0" w:color="auto"/>
            <w:left w:val="none" w:sz="0" w:space="0" w:color="auto"/>
            <w:bottom w:val="none" w:sz="0" w:space="0" w:color="auto"/>
            <w:right w:val="none" w:sz="0" w:space="0" w:color="auto"/>
          </w:divBdr>
        </w:div>
        <w:div w:id="693532102">
          <w:marLeft w:val="0"/>
          <w:marRight w:val="0"/>
          <w:marTop w:val="0"/>
          <w:marBottom w:val="0"/>
          <w:divBdr>
            <w:top w:val="none" w:sz="0" w:space="0" w:color="auto"/>
            <w:left w:val="none" w:sz="0" w:space="0" w:color="auto"/>
            <w:bottom w:val="none" w:sz="0" w:space="0" w:color="auto"/>
            <w:right w:val="none" w:sz="0" w:space="0" w:color="auto"/>
          </w:divBdr>
        </w:div>
      </w:divsChild>
    </w:div>
    <w:div w:id="1984920518">
      <w:bodyDiv w:val="1"/>
      <w:marLeft w:val="0"/>
      <w:marRight w:val="0"/>
      <w:marTop w:val="0"/>
      <w:marBottom w:val="0"/>
      <w:divBdr>
        <w:top w:val="none" w:sz="0" w:space="0" w:color="auto"/>
        <w:left w:val="none" w:sz="0" w:space="0" w:color="auto"/>
        <w:bottom w:val="none" w:sz="0" w:space="0" w:color="auto"/>
        <w:right w:val="none" w:sz="0" w:space="0" w:color="auto"/>
      </w:divBdr>
      <w:divsChild>
        <w:div w:id="390157348">
          <w:marLeft w:val="0"/>
          <w:marRight w:val="0"/>
          <w:marTop w:val="0"/>
          <w:marBottom w:val="0"/>
          <w:divBdr>
            <w:top w:val="none" w:sz="0" w:space="0" w:color="auto"/>
            <w:left w:val="none" w:sz="0" w:space="0" w:color="auto"/>
            <w:bottom w:val="none" w:sz="0" w:space="0" w:color="auto"/>
            <w:right w:val="none" w:sz="0" w:space="0" w:color="auto"/>
          </w:divBdr>
        </w:div>
        <w:div w:id="168570050">
          <w:marLeft w:val="0"/>
          <w:marRight w:val="0"/>
          <w:marTop w:val="0"/>
          <w:marBottom w:val="0"/>
          <w:divBdr>
            <w:top w:val="none" w:sz="0" w:space="0" w:color="auto"/>
            <w:left w:val="none" w:sz="0" w:space="0" w:color="auto"/>
            <w:bottom w:val="none" w:sz="0" w:space="0" w:color="auto"/>
            <w:right w:val="none" w:sz="0" w:space="0" w:color="auto"/>
          </w:divBdr>
        </w:div>
        <w:div w:id="866988147">
          <w:marLeft w:val="0"/>
          <w:marRight w:val="0"/>
          <w:marTop w:val="0"/>
          <w:marBottom w:val="0"/>
          <w:divBdr>
            <w:top w:val="none" w:sz="0" w:space="0" w:color="auto"/>
            <w:left w:val="none" w:sz="0" w:space="0" w:color="auto"/>
            <w:bottom w:val="none" w:sz="0" w:space="0" w:color="auto"/>
            <w:right w:val="none" w:sz="0" w:space="0" w:color="auto"/>
          </w:divBdr>
        </w:div>
        <w:div w:id="1812866289">
          <w:marLeft w:val="0"/>
          <w:marRight w:val="0"/>
          <w:marTop w:val="0"/>
          <w:marBottom w:val="0"/>
          <w:divBdr>
            <w:top w:val="none" w:sz="0" w:space="0" w:color="auto"/>
            <w:left w:val="none" w:sz="0" w:space="0" w:color="auto"/>
            <w:bottom w:val="none" w:sz="0" w:space="0" w:color="auto"/>
            <w:right w:val="none" w:sz="0" w:space="0" w:color="auto"/>
          </w:divBdr>
        </w:div>
        <w:div w:id="910239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zo-wissen.de/wDefault/wissensdatenbank/1_BetrVG/1_InhaltBetrVG/BetrVG-9/index.php"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1797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Havemann</dc:creator>
  <cp:keywords/>
  <dc:description/>
  <cp:lastModifiedBy>Viktor Havemann</cp:lastModifiedBy>
  <cp:revision>1</cp:revision>
  <dcterms:created xsi:type="dcterms:W3CDTF">2025-06-27T14:14:00Z</dcterms:created>
  <dcterms:modified xsi:type="dcterms:W3CDTF">2025-06-27T14:30:00Z</dcterms:modified>
</cp:coreProperties>
</file>